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6B" w:rsidRPr="00A03206" w:rsidRDefault="00C0306B" w:rsidP="00C0306B">
      <w:pPr>
        <w:snapToGrid w:val="0"/>
        <w:spacing w:line="500" w:lineRule="exact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A03206">
        <w:rPr>
          <w:rFonts w:ascii="Times New Roman" w:eastAsia="標楷體" w:hAnsi="標楷體" w:cs="Times New Roman" w:hint="eastAsia"/>
          <w:b/>
          <w:sz w:val="36"/>
          <w:szCs w:val="36"/>
        </w:rPr>
        <w:t>國</w:t>
      </w:r>
      <w:r w:rsidRPr="00A03206">
        <w:rPr>
          <w:rFonts w:ascii="Times New Roman" w:eastAsia="標楷體" w:hAnsi="標楷體" w:cs="Times New Roman"/>
          <w:b/>
          <w:sz w:val="36"/>
          <w:szCs w:val="36"/>
        </w:rPr>
        <w:t>立屏東高工</w:t>
      </w:r>
      <w:r w:rsidRPr="00A03206">
        <w:rPr>
          <w:rFonts w:ascii="Times New Roman" w:eastAsia="標楷體" w:hAnsi="標楷體" w:cs="Times New Roman" w:hint="eastAsia"/>
          <w:b/>
          <w:sz w:val="36"/>
          <w:szCs w:val="36"/>
        </w:rPr>
        <w:t>定期</w:t>
      </w:r>
      <w:r w:rsidR="00D86FFF" w:rsidRPr="00A03206">
        <w:rPr>
          <w:rFonts w:ascii="Times New Roman" w:eastAsia="標楷體" w:hAnsi="標楷體" w:cs="Times New Roman" w:hint="eastAsia"/>
          <w:b/>
          <w:sz w:val="36"/>
          <w:szCs w:val="36"/>
        </w:rPr>
        <w:t>評</w:t>
      </w:r>
      <w:r w:rsidR="00D86FFF" w:rsidRPr="00A03206">
        <w:rPr>
          <w:rFonts w:ascii="Times New Roman" w:eastAsia="標楷體" w:hAnsi="標楷體" w:cs="Times New Roman"/>
          <w:b/>
          <w:sz w:val="36"/>
          <w:szCs w:val="36"/>
        </w:rPr>
        <w:t>量</w:t>
      </w:r>
      <w:r w:rsidRPr="00A03206">
        <w:rPr>
          <w:rFonts w:ascii="Times New Roman" w:eastAsia="標楷體" w:hAnsi="標楷體" w:cs="Times New Roman" w:hint="eastAsia"/>
          <w:b/>
          <w:sz w:val="36"/>
          <w:szCs w:val="36"/>
        </w:rPr>
        <w:t>命題及審題實施</w:t>
      </w:r>
      <w:r w:rsidR="00847EE1" w:rsidRPr="00A03206">
        <w:rPr>
          <w:rFonts w:ascii="Times New Roman" w:eastAsia="標楷體" w:hAnsi="標楷體" w:cs="Times New Roman" w:hint="eastAsia"/>
          <w:b/>
          <w:sz w:val="36"/>
          <w:szCs w:val="36"/>
        </w:rPr>
        <w:t>計</w:t>
      </w:r>
      <w:r w:rsidR="00847EE1" w:rsidRPr="00A03206">
        <w:rPr>
          <w:rFonts w:ascii="Times New Roman" w:eastAsia="標楷體" w:hAnsi="標楷體" w:cs="Times New Roman"/>
          <w:b/>
          <w:sz w:val="36"/>
          <w:szCs w:val="36"/>
        </w:rPr>
        <w:t>畫</w:t>
      </w:r>
    </w:p>
    <w:p w:rsidR="00C0306B" w:rsidRPr="00A03206" w:rsidRDefault="00C0306B" w:rsidP="00F3299F">
      <w:pPr>
        <w:wordWrap w:val="0"/>
        <w:snapToGrid w:val="0"/>
        <w:spacing w:line="500" w:lineRule="exact"/>
        <w:jc w:val="right"/>
        <w:rPr>
          <w:rFonts w:ascii="Times New Roman" w:eastAsia="標楷體" w:hAnsi="Times New Roman" w:cs="Times New Roman"/>
          <w:szCs w:val="24"/>
        </w:rPr>
      </w:pPr>
      <w:r w:rsidRPr="00A03206">
        <w:rPr>
          <w:rFonts w:ascii="Times New Roman" w:eastAsia="標楷體" w:hAnsi="Times New Roman" w:cs="Times New Roman"/>
          <w:szCs w:val="24"/>
        </w:rPr>
        <w:t>111</w:t>
      </w:r>
      <w:r w:rsidRPr="00A03206">
        <w:rPr>
          <w:rFonts w:ascii="Times New Roman" w:eastAsia="標楷體" w:hAnsi="標楷體" w:cs="Times New Roman" w:hint="eastAsia"/>
          <w:szCs w:val="24"/>
        </w:rPr>
        <w:t>年</w:t>
      </w:r>
      <w:r w:rsidRPr="00A03206">
        <w:rPr>
          <w:rFonts w:ascii="Times New Roman" w:eastAsia="標楷體" w:hAnsi="Times New Roman" w:cs="Times New Roman"/>
          <w:szCs w:val="24"/>
        </w:rPr>
        <w:t>9</w:t>
      </w:r>
      <w:r w:rsidRPr="00A03206">
        <w:rPr>
          <w:rFonts w:ascii="Times New Roman" w:eastAsia="標楷體" w:hAnsi="標楷體" w:cs="Times New Roman" w:hint="eastAsia"/>
          <w:szCs w:val="24"/>
        </w:rPr>
        <w:t>月</w:t>
      </w:r>
      <w:r w:rsidR="001C5833">
        <w:rPr>
          <w:rFonts w:ascii="Times New Roman" w:eastAsia="標楷體" w:hAnsi="標楷體" w:cs="Times New Roman" w:hint="eastAsia"/>
          <w:szCs w:val="24"/>
        </w:rPr>
        <w:t>6</w:t>
      </w:r>
      <w:r w:rsidRPr="00A03206">
        <w:rPr>
          <w:rFonts w:ascii="Times New Roman" w:eastAsia="標楷體" w:hAnsi="標楷體" w:cs="Times New Roman" w:hint="eastAsia"/>
          <w:szCs w:val="24"/>
        </w:rPr>
        <w:t>日行政會</w:t>
      </w:r>
      <w:r w:rsidRPr="00A03206">
        <w:rPr>
          <w:rFonts w:ascii="Times New Roman" w:eastAsia="標楷體" w:hAnsi="標楷體" w:cs="Times New Roman"/>
          <w:szCs w:val="24"/>
        </w:rPr>
        <w:t>議</w:t>
      </w:r>
      <w:r w:rsidR="00372519">
        <w:rPr>
          <w:rFonts w:ascii="Times New Roman" w:eastAsia="標楷體" w:hAnsi="標楷體" w:cs="Times New Roman" w:hint="eastAsia"/>
          <w:szCs w:val="24"/>
        </w:rPr>
        <w:t>訂</w:t>
      </w:r>
      <w:r w:rsidR="00372519">
        <w:rPr>
          <w:rFonts w:ascii="Times New Roman" w:eastAsia="標楷體" w:hAnsi="標楷體" w:cs="Times New Roman"/>
          <w:szCs w:val="24"/>
        </w:rPr>
        <w:t>定</w:t>
      </w: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標楷體" w:cs="Times New Roman" w:hint="eastAsia"/>
          <w:b/>
          <w:sz w:val="28"/>
          <w:szCs w:val="28"/>
        </w:rPr>
        <w:t>依據：</w:t>
      </w:r>
    </w:p>
    <w:p w:rsidR="00C0306B" w:rsidRPr="00A03206" w:rsidRDefault="00316911" w:rsidP="00B32422">
      <w:pPr>
        <w:pStyle w:val="a5"/>
        <w:snapToGrid w:val="0"/>
        <w:spacing w:line="288" w:lineRule="auto"/>
        <w:ind w:leftChars="0" w:left="72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03206">
        <w:rPr>
          <w:rFonts w:ascii="Times New Roman" w:eastAsia="標楷體" w:hAnsi="標楷體" w:cs="Times New Roman" w:hint="eastAsia"/>
          <w:sz w:val="28"/>
          <w:szCs w:val="28"/>
        </w:rPr>
        <w:t>高級中等學校學生學習評量辦法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與國</w:t>
      </w:r>
      <w:r w:rsidR="00EE50DE" w:rsidRPr="00A03206">
        <w:rPr>
          <w:rFonts w:ascii="Times New Roman" w:eastAsia="標楷體" w:hAnsi="標楷體" w:cs="Times New Roman"/>
          <w:sz w:val="28"/>
          <w:szCs w:val="28"/>
        </w:rPr>
        <w:t>立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屏東</w:t>
      </w:r>
      <w:r w:rsidR="00EE50DE" w:rsidRPr="00A03206">
        <w:rPr>
          <w:rFonts w:ascii="Times New Roman" w:eastAsia="標楷體" w:hAnsi="標楷體" w:cs="Times New Roman"/>
          <w:sz w:val="28"/>
          <w:szCs w:val="28"/>
        </w:rPr>
        <w:t>高工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EE50DE" w:rsidRPr="00A03206">
        <w:rPr>
          <w:rFonts w:ascii="Times New Roman" w:eastAsia="標楷體" w:hAnsi="標楷體" w:cs="Times New Roman"/>
          <w:sz w:val="28"/>
          <w:szCs w:val="28"/>
        </w:rPr>
        <w:t>下簡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稱</w:t>
      </w:r>
      <w:r w:rsidR="00EE50DE" w:rsidRPr="00A03206">
        <w:rPr>
          <w:rFonts w:ascii="Times New Roman" w:eastAsia="標楷體" w:hAnsi="標楷體" w:cs="Times New Roman"/>
          <w:sz w:val="28"/>
          <w:szCs w:val="28"/>
        </w:rPr>
        <w:t>本校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學生學習評量補充規定</w:t>
      </w:r>
      <w:r w:rsidR="00C0306B" w:rsidRPr="00A03206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標楷體" w:cs="Times New Roman" w:hint="eastAsia"/>
          <w:b/>
          <w:sz w:val="28"/>
          <w:szCs w:val="28"/>
        </w:rPr>
        <w:t>目的：</w:t>
      </w:r>
    </w:p>
    <w:p w:rsidR="00C0306B" w:rsidRPr="00A03206" w:rsidRDefault="00FD205A" w:rsidP="00B32422">
      <w:pPr>
        <w:pStyle w:val="a5"/>
        <w:snapToGrid w:val="0"/>
        <w:spacing w:line="288" w:lineRule="auto"/>
        <w:ind w:leftChars="0" w:left="72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03206">
        <w:rPr>
          <w:rFonts w:ascii="Times New Roman" w:eastAsia="標楷體" w:hAnsi="標楷體" w:cs="Times New Roman" w:hint="eastAsia"/>
          <w:sz w:val="28"/>
          <w:szCs w:val="28"/>
        </w:rPr>
        <w:t>本校</w:t>
      </w:r>
      <w:r w:rsidR="00C0306B" w:rsidRPr="00A03206">
        <w:rPr>
          <w:rFonts w:ascii="Times New Roman" w:eastAsia="標楷體" w:hAnsi="標楷體" w:cs="Times New Roman" w:hint="eastAsia"/>
          <w:sz w:val="28"/>
          <w:szCs w:val="28"/>
        </w:rPr>
        <w:t>透過命題及審題機制的落實，使各學科試題</w:t>
      </w:r>
      <w:r w:rsidR="0015156B" w:rsidRPr="00A03206">
        <w:rPr>
          <w:rFonts w:ascii="Times New Roman" w:eastAsia="標楷體" w:hAnsi="標楷體" w:cs="Times New Roman" w:hint="eastAsia"/>
          <w:sz w:val="28"/>
          <w:szCs w:val="28"/>
        </w:rPr>
        <w:t>兼</w:t>
      </w:r>
      <w:r w:rsidR="0015156B" w:rsidRPr="00A03206">
        <w:rPr>
          <w:rFonts w:ascii="Times New Roman" w:eastAsia="標楷體" w:hAnsi="標楷體" w:cs="Times New Roman"/>
          <w:sz w:val="28"/>
          <w:szCs w:val="28"/>
        </w:rPr>
        <w:t>具</w:t>
      </w:r>
      <w:r w:rsidR="00C0306B" w:rsidRPr="00A03206">
        <w:rPr>
          <w:rFonts w:ascii="Times New Roman" w:eastAsia="標楷體" w:hAnsi="標楷體" w:cs="Times New Roman" w:hint="eastAsia"/>
          <w:sz w:val="28"/>
          <w:szCs w:val="28"/>
        </w:rPr>
        <w:t>專業性</w:t>
      </w:r>
      <w:r w:rsidR="00AC7000" w:rsidRPr="00A03206">
        <w:rPr>
          <w:rFonts w:ascii="Times New Roman" w:eastAsia="標楷體" w:hAnsi="標楷體" w:cs="Times New Roman" w:hint="eastAsia"/>
          <w:sz w:val="28"/>
          <w:szCs w:val="28"/>
        </w:rPr>
        <w:t>、</w:t>
      </w:r>
      <w:r w:rsidR="002E1EA6" w:rsidRPr="00A03206">
        <w:rPr>
          <w:rFonts w:ascii="Times New Roman" w:eastAsia="標楷體" w:hAnsi="標楷體" w:cs="Times New Roman"/>
          <w:sz w:val="28"/>
          <w:szCs w:val="28"/>
        </w:rPr>
        <w:t>合宜的</w:t>
      </w:r>
      <w:r w:rsidR="002E1EA6" w:rsidRPr="00A03206">
        <w:rPr>
          <w:rFonts w:ascii="Times New Roman" w:eastAsia="標楷體" w:hAnsi="標楷體" w:cs="Times New Roman" w:hint="eastAsia"/>
          <w:sz w:val="28"/>
          <w:szCs w:val="28"/>
        </w:rPr>
        <w:t>評</w:t>
      </w:r>
      <w:r w:rsidR="002E1EA6" w:rsidRPr="00A03206">
        <w:rPr>
          <w:rFonts w:ascii="Times New Roman" w:eastAsia="標楷體" w:hAnsi="標楷體" w:cs="Times New Roman"/>
          <w:sz w:val="28"/>
          <w:szCs w:val="28"/>
        </w:rPr>
        <w:t>量</w:t>
      </w:r>
      <w:r w:rsidR="002E1EA6" w:rsidRPr="00A03206">
        <w:rPr>
          <w:rFonts w:ascii="Times New Roman" w:eastAsia="標楷體" w:hAnsi="標楷體" w:cs="Times New Roman" w:hint="eastAsia"/>
          <w:sz w:val="28"/>
          <w:szCs w:val="28"/>
        </w:rPr>
        <w:t>規</w:t>
      </w:r>
      <w:r w:rsidR="002E1EA6" w:rsidRPr="00A03206">
        <w:rPr>
          <w:rFonts w:ascii="Times New Roman" w:eastAsia="標楷體" w:hAnsi="標楷體" w:cs="Times New Roman"/>
          <w:sz w:val="28"/>
          <w:szCs w:val="28"/>
        </w:rPr>
        <w:t>範</w:t>
      </w:r>
      <w:r w:rsidR="00AC7000" w:rsidRPr="00A03206">
        <w:rPr>
          <w:rFonts w:ascii="Times New Roman" w:eastAsia="標楷體" w:hAnsi="標楷體" w:cs="Times New Roman" w:hint="eastAsia"/>
          <w:sz w:val="28"/>
          <w:szCs w:val="28"/>
        </w:rPr>
        <w:t>暨</w:t>
      </w:r>
      <w:r w:rsidR="00EE50DE" w:rsidRPr="00A03206">
        <w:rPr>
          <w:rFonts w:ascii="Times New Roman" w:eastAsia="標楷體" w:hAnsi="標楷體" w:cs="Times New Roman" w:hint="eastAsia"/>
          <w:sz w:val="28"/>
          <w:szCs w:val="28"/>
        </w:rPr>
        <w:t>評分準則</w:t>
      </w:r>
      <w:r w:rsidR="00C0306B" w:rsidRPr="00A03206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2E1EA6" w:rsidRPr="00A03206">
        <w:rPr>
          <w:rFonts w:ascii="Times New Roman" w:eastAsia="標楷體" w:hAnsi="標楷體" w:cs="Times New Roman" w:hint="eastAsia"/>
          <w:sz w:val="28"/>
          <w:szCs w:val="28"/>
        </w:rPr>
        <w:t>以</w:t>
      </w:r>
      <w:r w:rsidR="006C6F81" w:rsidRPr="00A03206">
        <w:rPr>
          <w:rFonts w:ascii="Times New Roman" w:eastAsia="標楷體" w:hAnsi="標楷體" w:cs="Times New Roman" w:hint="eastAsia"/>
          <w:sz w:val="28"/>
          <w:szCs w:val="28"/>
        </w:rPr>
        <w:t>協助</w:t>
      </w:r>
      <w:r w:rsidR="002E1EA6" w:rsidRPr="00A03206">
        <w:rPr>
          <w:rFonts w:ascii="Times New Roman" w:eastAsia="標楷體" w:hAnsi="標楷體" w:cs="Times New Roman" w:hint="eastAsia"/>
          <w:sz w:val="28"/>
          <w:szCs w:val="28"/>
        </w:rPr>
        <w:t>學生適性學習與提</w:t>
      </w:r>
      <w:r w:rsidR="002E1EA6" w:rsidRPr="00A03206">
        <w:rPr>
          <w:rFonts w:ascii="Times New Roman" w:eastAsia="標楷體" w:hAnsi="標楷體" w:cs="Times New Roman"/>
          <w:sz w:val="28"/>
          <w:szCs w:val="28"/>
        </w:rPr>
        <w:t>升學</w:t>
      </w:r>
      <w:r w:rsidR="002E1EA6" w:rsidRPr="00A03206">
        <w:rPr>
          <w:rFonts w:ascii="Times New Roman" w:eastAsia="標楷體" w:hAnsi="標楷體" w:cs="Times New Roman" w:hint="eastAsia"/>
          <w:sz w:val="28"/>
          <w:szCs w:val="28"/>
        </w:rPr>
        <w:t>習</w:t>
      </w:r>
      <w:r w:rsidR="002E1EA6" w:rsidRPr="00A03206">
        <w:rPr>
          <w:rFonts w:ascii="Times New Roman" w:eastAsia="標楷體" w:hAnsi="標楷體" w:cs="Times New Roman"/>
          <w:sz w:val="28"/>
          <w:szCs w:val="28"/>
        </w:rPr>
        <w:t>成效</w:t>
      </w:r>
      <w:r w:rsidR="00C0306B" w:rsidRPr="00A03206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迴避與保密原則：</w:t>
      </w:r>
    </w:p>
    <w:p w:rsidR="00C0306B" w:rsidRPr="00A03206" w:rsidRDefault="00C0306B" w:rsidP="00B32422">
      <w:pPr>
        <w:pStyle w:val="a5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命題與審題教師之排定，應</w:t>
      </w:r>
      <w:r w:rsidR="00847EE1" w:rsidRPr="00A03206">
        <w:rPr>
          <w:rFonts w:ascii="Times New Roman" w:eastAsia="標楷體" w:hAnsi="Times New Roman" w:cs="Times New Roman" w:hint="eastAsia"/>
          <w:sz w:val="28"/>
          <w:szCs w:val="28"/>
        </w:rPr>
        <w:t>遵守公職人員利益衝突迴避法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0306B" w:rsidRPr="00A03206" w:rsidRDefault="00BC4B83" w:rsidP="00B32422">
      <w:pPr>
        <w:pStyle w:val="a5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Pr="00A03206">
        <w:rPr>
          <w:rFonts w:ascii="Times New Roman" w:eastAsia="標楷體" w:hAnsi="Times New Roman" w:cs="Times New Roman"/>
          <w:sz w:val="28"/>
          <w:szCs w:val="28"/>
        </w:rPr>
        <w:t>量試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卷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0306B" w:rsidRPr="00A03206">
        <w:rPr>
          <w:rFonts w:ascii="Times New Roman" w:eastAsia="標楷體" w:hAnsi="Times New Roman" w:cs="Times New Roman" w:hint="eastAsia"/>
          <w:sz w:val="28"/>
          <w:szCs w:val="28"/>
        </w:rPr>
        <w:t>應妥善存放，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A03206">
        <w:rPr>
          <w:rFonts w:ascii="Times New Roman" w:eastAsia="標楷體" w:hAnsi="Times New Roman" w:cs="Times New Roman"/>
          <w:sz w:val="28"/>
          <w:szCs w:val="28"/>
        </w:rPr>
        <w:t>考前複習應審慎為之，避免試題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卷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洩</w:t>
      </w:r>
      <w:r w:rsidRPr="00A03206">
        <w:rPr>
          <w:rFonts w:ascii="Times New Roman" w:eastAsia="標楷體" w:hAnsi="Times New Roman" w:cs="Times New Roman"/>
          <w:sz w:val="28"/>
          <w:szCs w:val="28"/>
        </w:rPr>
        <w:t>漏</w:t>
      </w:r>
      <w:r w:rsidR="00C0306B" w:rsidRPr="00A03206">
        <w:rPr>
          <w:rFonts w:ascii="Times New Roman" w:eastAsia="標楷體" w:hAnsi="Times New Roman" w:cs="Times New Roman" w:hint="eastAsia"/>
          <w:sz w:val="28"/>
          <w:szCs w:val="28"/>
        </w:rPr>
        <w:t>，以維護評量成績之公平性。</w:t>
      </w: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命題</w:t>
      </w:r>
      <w:r w:rsidR="001378B3"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暨</w:t>
      </w:r>
      <w:r w:rsidR="001378B3" w:rsidRPr="00A03206">
        <w:rPr>
          <w:rFonts w:ascii="Times New Roman" w:eastAsia="標楷體" w:hAnsi="Times New Roman" w:cs="Times New Roman"/>
          <w:b/>
          <w:sz w:val="28"/>
          <w:szCs w:val="28"/>
        </w:rPr>
        <w:t>審題</w:t>
      </w: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原則：</w:t>
      </w:r>
    </w:p>
    <w:p w:rsidR="00C0306B" w:rsidRPr="00A03206" w:rsidRDefault="001378B3" w:rsidP="00B32422">
      <w:pPr>
        <w:pStyle w:val="a5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每學期初各領域教</w:t>
      </w:r>
      <w:r w:rsidRPr="00A03206">
        <w:rPr>
          <w:rFonts w:ascii="Times New Roman" w:eastAsia="標楷體" w:hAnsi="Times New Roman" w:cs="Times New Roman"/>
          <w:sz w:val="28"/>
          <w:szCs w:val="28"/>
        </w:rPr>
        <w:t>學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研</w:t>
      </w:r>
      <w:r w:rsidRPr="00A03206">
        <w:rPr>
          <w:rFonts w:ascii="Times New Roman" w:eastAsia="標楷體" w:hAnsi="Times New Roman" w:cs="Times New Roman"/>
          <w:sz w:val="28"/>
          <w:szCs w:val="28"/>
        </w:rPr>
        <w:t>究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會議中，依迴避原則議</w:t>
      </w:r>
      <w:r w:rsidRPr="00A03206">
        <w:rPr>
          <w:rFonts w:ascii="Times New Roman" w:eastAsia="標楷體" w:hAnsi="Times New Roman" w:cs="Times New Roman"/>
          <w:sz w:val="28"/>
          <w:szCs w:val="28"/>
        </w:rPr>
        <w:t>決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定</w:t>
      </w:r>
      <w:r w:rsidRPr="00A03206">
        <w:rPr>
          <w:rFonts w:ascii="Times New Roman" w:eastAsia="標楷體" w:hAnsi="Times New Roman" w:cs="Times New Roman"/>
          <w:sz w:val="28"/>
          <w:szCs w:val="28"/>
        </w:rPr>
        <w:t>期評量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命題暨</w:t>
      </w:r>
      <w:r w:rsidRPr="00A03206">
        <w:rPr>
          <w:rFonts w:ascii="Times New Roman" w:eastAsia="標楷體" w:hAnsi="Times New Roman" w:cs="Times New Roman"/>
          <w:sz w:val="28"/>
          <w:szCs w:val="28"/>
        </w:rPr>
        <w:t>審題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教師。</w:t>
      </w:r>
    </w:p>
    <w:p w:rsidR="0015156B" w:rsidRPr="00A03206" w:rsidRDefault="0015156B" w:rsidP="00B32422">
      <w:pPr>
        <w:pStyle w:val="a5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教師依據課程計畫之教學目標與進度命題，不得採用出版商之試卷實施學生</w:t>
      </w:r>
      <w:r w:rsidR="00C02D74">
        <w:rPr>
          <w:rFonts w:ascii="Times New Roman" w:eastAsia="標楷體" w:hAnsi="Times New Roman" w:cs="Times New Roman" w:hint="eastAsia"/>
          <w:sz w:val="28"/>
          <w:szCs w:val="28"/>
        </w:rPr>
        <w:t>定期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評量，若參考其他資料命題，應進行轉化，不宜原文照錄。</w:t>
      </w:r>
    </w:p>
    <w:p w:rsidR="001378B3" w:rsidRPr="00A03206" w:rsidRDefault="001378B3" w:rsidP="00B32422">
      <w:pPr>
        <w:pStyle w:val="a5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審題教師應秉持教師專業，配合命題原則進行相關審</w:t>
      </w:r>
      <w:r w:rsidR="00B42E7D">
        <w:rPr>
          <w:rFonts w:ascii="Times New Roman" w:eastAsia="標楷體" w:hAnsi="Times New Roman" w:cs="Times New Roman" w:hint="eastAsia"/>
          <w:sz w:val="28"/>
          <w:szCs w:val="28"/>
        </w:rPr>
        <w:t>題</w:t>
      </w:r>
      <w:r w:rsidRPr="00A03206">
        <w:rPr>
          <w:rFonts w:ascii="Times New Roman" w:eastAsia="標楷體" w:hAnsi="Times New Roman" w:cs="Times New Roman"/>
          <w:sz w:val="28"/>
          <w:szCs w:val="28"/>
        </w:rPr>
        <w:t>(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如命題範圍、命題內容、難易度、鑑別度等</w:t>
      </w:r>
      <w:r w:rsidRPr="00A03206">
        <w:rPr>
          <w:rFonts w:ascii="Times New Roman" w:eastAsia="標楷體" w:hAnsi="Times New Roman" w:cs="Times New Roman"/>
          <w:sz w:val="28"/>
          <w:szCs w:val="28"/>
        </w:rPr>
        <w:t>)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0306B" w:rsidRPr="00A03206" w:rsidRDefault="001378B3" w:rsidP="00B32422">
      <w:pPr>
        <w:pStyle w:val="a5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審題教師針對試題配分</w:t>
      </w:r>
      <w:r w:rsidR="00180128" w:rsidRPr="00A0320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題數</w:t>
      </w:r>
      <w:r w:rsidR="00180128" w:rsidRPr="00A03206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180128" w:rsidRPr="00A03206">
        <w:rPr>
          <w:rFonts w:ascii="Times New Roman" w:eastAsia="標楷體" w:hAnsi="Times New Roman" w:cs="Times New Roman"/>
          <w:sz w:val="28"/>
          <w:szCs w:val="28"/>
        </w:rPr>
        <w:t>難易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合理性、題意清楚度、圖表清晰度、及</w:t>
      </w:r>
      <w:r w:rsidR="00180128" w:rsidRPr="00A03206">
        <w:rPr>
          <w:rFonts w:ascii="Times New Roman" w:eastAsia="標楷體" w:hAnsi="Times New Roman" w:cs="Times New Roman" w:hint="eastAsia"/>
          <w:sz w:val="28"/>
          <w:szCs w:val="28"/>
        </w:rPr>
        <w:t>評</w:t>
      </w:r>
      <w:r w:rsidR="00180128" w:rsidRPr="00A03206">
        <w:rPr>
          <w:rFonts w:ascii="Times New Roman" w:eastAsia="標楷體" w:hAnsi="Times New Roman" w:cs="Times New Roman"/>
          <w:sz w:val="28"/>
          <w:szCs w:val="28"/>
        </w:rPr>
        <w:t>量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範圍</w:t>
      </w:r>
      <w:r w:rsidR="00180128" w:rsidRPr="00A03206">
        <w:rPr>
          <w:rFonts w:ascii="Times New Roman" w:eastAsia="標楷體" w:hAnsi="Times New Roman" w:cs="Times New Roman" w:hint="eastAsia"/>
          <w:sz w:val="28"/>
          <w:szCs w:val="28"/>
        </w:rPr>
        <w:t>規</w:t>
      </w:r>
      <w:r w:rsidR="00180128" w:rsidRPr="00A03206">
        <w:rPr>
          <w:rFonts w:ascii="Times New Roman" w:eastAsia="標楷體" w:hAnsi="Times New Roman" w:cs="Times New Roman"/>
          <w:sz w:val="28"/>
          <w:szCs w:val="28"/>
        </w:rPr>
        <w:t>範性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，應做具體審視，並記載於審</w:t>
      </w:r>
      <w:r w:rsidR="00B42E7D">
        <w:rPr>
          <w:rFonts w:ascii="Times New Roman" w:eastAsia="標楷體" w:hAnsi="Times New Roman" w:cs="Times New Roman" w:hint="eastAsia"/>
          <w:sz w:val="28"/>
          <w:szCs w:val="28"/>
        </w:rPr>
        <w:t>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意見表中。</w:t>
      </w:r>
    </w:p>
    <w:p w:rsidR="00C0306B" w:rsidRPr="00A03206" w:rsidRDefault="00C0306B" w:rsidP="00B32422">
      <w:pPr>
        <w:pStyle w:val="a5"/>
        <w:snapToGrid w:val="0"/>
        <w:spacing w:line="288" w:lineRule="auto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命題及審題程序：</w:t>
      </w:r>
    </w:p>
    <w:p w:rsidR="00C0306B" w:rsidRPr="00A03206" w:rsidRDefault="00C0306B" w:rsidP="00B32422">
      <w:pPr>
        <w:pStyle w:val="a5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命題教師於定期評量前</w:t>
      </w:r>
      <w:r w:rsidRPr="00A03206">
        <w:rPr>
          <w:rFonts w:ascii="Times New Roman" w:eastAsia="標楷體" w:hAnsi="Times New Roman" w:cs="Times New Roman"/>
          <w:sz w:val="28"/>
          <w:szCs w:val="28"/>
        </w:rPr>
        <w:t>10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日完成試題初稿並彌封送交審題教師進行審題。</w:t>
      </w:r>
    </w:p>
    <w:p w:rsidR="00C0306B" w:rsidRPr="00A03206" w:rsidRDefault="00C0306B" w:rsidP="00B32422">
      <w:pPr>
        <w:pStyle w:val="a5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審題教師收到試題初稿</w:t>
      </w:r>
      <w:r w:rsidRPr="00A03206">
        <w:rPr>
          <w:rFonts w:ascii="Times New Roman" w:eastAsia="標楷體" w:hAnsi="Times New Roman" w:cs="Times New Roman"/>
          <w:sz w:val="28"/>
          <w:szCs w:val="28"/>
        </w:rPr>
        <w:t>2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日內將審題意見表回覆命題教師。</w:t>
      </w:r>
    </w:p>
    <w:p w:rsidR="00C0306B" w:rsidRPr="00A03206" w:rsidRDefault="00C0306B" w:rsidP="00B32422">
      <w:pPr>
        <w:pStyle w:val="a5"/>
        <w:numPr>
          <w:ilvl w:val="0"/>
          <w:numId w:val="5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命題教師依審</w:t>
      </w:r>
      <w:r w:rsidR="00B42E7D">
        <w:rPr>
          <w:rFonts w:ascii="Times New Roman" w:eastAsia="標楷體" w:hAnsi="Times New Roman" w:cs="Times New Roman" w:hint="eastAsia"/>
          <w:sz w:val="28"/>
          <w:szCs w:val="28"/>
        </w:rPr>
        <w:t>題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意見表修正試題，並於定期評量前</w:t>
      </w:r>
      <w:r w:rsidRPr="00A03206">
        <w:rPr>
          <w:rFonts w:ascii="Times New Roman" w:eastAsia="標楷體" w:hAnsi="Times New Roman" w:cs="Times New Roman"/>
          <w:sz w:val="28"/>
          <w:szCs w:val="28"/>
        </w:rPr>
        <w:t>7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日將正式試卷</w:t>
      </w:r>
      <w:r w:rsidR="00954CA1" w:rsidRPr="00A03206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 w:rsidR="00954CA1" w:rsidRPr="00A03206">
        <w:rPr>
          <w:rFonts w:ascii="Times New Roman" w:eastAsia="標楷體" w:hAnsi="Times New Roman" w:cs="Times New Roman"/>
          <w:sz w:val="28"/>
          <w:szCs w:val="28"/>
        </w:rPr>
        <w:t>審題</w:t>
      </w:r>
      <w:r w:rsidR="00B42E7D">
        <w:rPr>
          <w:rFonts w:ascii="Times New Roman" w:eastAsia="標楷體" w:hAnsi="Times New Roman" w:cs="Times New Roman" w:hint="eastAsia"/>
          <w:sz w:val="28"/>
          <w:szCs w:val="28"/>
        </w:rPr>
        <w:t>意</w:t>
      </w:r>
      <w:r w:rsidR="00B42E7D">
        <w:rPr>
          <w:rFonts w:ascii="Times New Roman" w:eastAsia="標楷體" w:hAnsi="Times New Roman" w:cs="Times New Roman"/>
          <w:sz w:val="28"/>
          <w:szCs w:val="28"/>
        </w:rPr>
        <w:t>見</w:t>
      </w:r>
      <w:r w:rsidR="00954CA1" w:rsidRPr="00A03206">
        <w:rPr>
          <w:rFonts w:ascii="Times New Roman" w:eastAsia="標楷體" w:hAnsi="Times New Roman" w:cs="Times New Roman"/>
          <w:sz w:val="28"/>
          <w:szCs w:val="28"/>
        </w:rPr>
        <w:t>表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7169AB" w:rsidRPr="00A03206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A03206">
        <w:rPr>
          <w:rFonts w:ascii="Times New Roman" w:eastAsia="標楷體" w:hAnsi="Times New Roman" w:cs="Times New Roman" w:hint="eastAsia"/>
          <w:sz w:val="28"/>
          <w:szCs w:val="28"/>
        </w:rPr>
        <w:t>教務處。</w:t>
      </w:r>
    </w:p>
    <w:p w:rsidR="00C0306B" w:rsidRPr="00A03206" w:rsidRDefault="00C0306B" w:rsidP="00B32422">
      <w:pPr>
        <w:pStyle w:val="a5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本</w:t>
      </w:r>
      <w:r w:rsidR="00F859F9"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計</w:t>
      </w:r>
      <w:r w:rsidR="00F859F9" w:rsidRPr="00A03206">
        <w:rPr>
          <w:rFonts w:ascii="Times New Roman" w:eastAsia="標楷體" w:hAnsi="Times New Roman" w:cs="Times New Roman"/>
          <w:b/>
          <w:sz w:val="28"/>
          <w:szCs w:val="28"/>
        </w:rPr>
        <w:t>畫</w:t>
      </w: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經行政</w:t>
      </w:r>
      <w:r w:rsidR="00F859F9"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會</w:t>
      </w:r>
      <w:r w:rsidR="00F859F9" w:rsidRPr="00A03206">
        <w:rPr>
          <w:rFonts w:ascii="Times New Roman" w:eastAsia="標楷體" w:hAnsi="Times New Roman" w:cs="Times New Roman"/>
          <w:b/>
          <w:sz w:val="28"/>
          <w:szCs w:val="28"/>
        </w:rPr>
        <w:t>議</w:t>
      </w: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通過後，陳校長</w:t>
      </w:r>
      <w:r w:rsidR="00F859F9"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核</w:t>
      </w:r>
      <w:r w:rsidR="00F859F9" w:rsidRPr="00A03206">
        <w:rPr>
          <w:rFonts w:ascii="Times New Roman" w:eastAsia="標楷體" w:hAnsi="Times New Roman" w:cs="Times New Roman"/>
          <w:b/>
          <w:sz w:val="28"/>
          <w:szCs w:val="28"/>
        </w:rPr>
        <w:t>定後</w:t>
      </w:r>
      <w:r w:rsidRPr="00A03206">
        <w:rPr>
          <w:rFonts w:ascii="Times New Roman" w:eastAsia="標楷體" w:hAnsi="Times New Roman" w:cs="Times New Roman" w:hint="eastAsia"/>
          <w:b/>
          <w:sz w:val="28"/>
          <w:szCs w:val="28"/>
        </w:rPr>
        <w:t>公布實施。</w:t>
      </w:r>
    </w:p>
    <w:p w:rsidR="00C0306B" w:rsidRPr="00A03206" w:rsidRDefault="00C0306B" w:rsidP="00C0306B">
      <w:pPr>
        <w:pStyle w:val="a5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117487" w:rsidRPr="00A03206" w:rsidRDefault="00117487">
      <w:pPr>
        <w:widowControl/>
        <w:spacing w:line="240" w:lineRule="auto"/>
        <w:jc w:val="left"/>
        <w:rPr>
          <w:rFonts w:ascii="Times New Roman" w:eastAsia="標楷體" w:hAnsi="Times New Roman" w:cs="Times New Roman"/>
          <w:sz w:val="28"/>
          <w:szCs w:val="28"/>
        </w:rPr>
      </w:pPr>
      <w:r w:rsidRPr="00A03206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117487" w:rsidRPr="00A03206" w:rsidRDefault="00661282" w:rsidP="00117487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A03206">
        <w:rPr>
          <w:rFonts w:ascii="標楷體" w:eastAsia="標楷體" w:hAnsi="標楷體" w:hint="eastAsia"/>
          <w:b/>
          <w:sz w:val="32"/>
          <w:szCs w:val="32"/>
        </w:rPr>
        <w:lastRenderedPageBreak/>
        <w:t>國</w:t>
      </w:r>
      <w:r w:rsidRPr="00A03206">
        <w:rPr>
          <w:rFonts w:ascii="標楷體" w:eastAsia="標楷體" w:hAnsi="標楷體"/>
          <w:b/>
          <w:sz w:val="32"/>
          <w:szCs w:val="32"/>
        </w:rPr>
        <w:t>立屏東高工</w:t>
      </w:r>
      <w:r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______</w:t>
      </w:r>
      <w:r w:rsidR="00117487" w:rsidRPr="00A03206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09308F"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___</w:t>
      </w:r>
      <w:r w:rsidR="00117487" w:rsidRPr="00A03206">
        <w:rPr>
          <w:rFonts w:ascii="標楷體" w:eastAsia="標楷體" w:hAnsi="標楷體" w:hint="eastAsia"/>
          <w:b/>
          <w:sz w:val="32"/>
          <w:szCs w:val="32"/>
        </w:rPr>
        <w:t>學期</w:t>
      </w:r>
      <w:r w:rsidR="00B32422"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____</w:t>
      </w:r>
      <w:r w:rsidR="00117487"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__</w:t>
      </w:r>
      <w:r w:rsidR="00B32422"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__</w:t>
      </w:r>
      <w:r w:rsidR="00117487" w:rsidRPr="00A03206">
        <w:rPr>
          <w:rFonts w:ascii="標楷體" w:eastAsia="標楷體" w:hAnsi="標楷體" w:hint="eastAsia"/>
          <w:b/>
          <w:sz w:val="32"/>
          <w:szCs w:val="32"/>
          <w:u w:val="single"/>
        </w:rPr>
        <w:t>_</w:t>
      </w:r>
      <w:r w:rsidRPr="00A03206">
        <w:rPr>
          <w:rFonts w:ascii="標楷體" w:eastAsia="標楷體" w:hAnsi="標楷體" w:hint="eastAsia"/>
          <w:b/>
          <w:sz w:val="32"/>
          <w:szCs w:val="32"/>
        </w:rPr>
        <w:t>定</w:t>
      </w:r>
      <w:r w:rsidRPr="00A03206">
        <w:rPr>
          <w:rFonts w:ascii="標楷體" w:eastAsia="標楷體" w:hAnsi="標楷體"/>
          <w:b/>
          <w:sz w:val="32"/>
          <w:szCs w:val="32"/>
        </w:rPr>
        <w:t>期</w:t>
      </w:r>
      <w:r w:rsidR="00B32422" w:rsidRPr="00A03206">
        <w:rPr>
          <w:rFonts w:ascii="標楷體" w:eastAsia="標楷體" w:hAnsi="標楷體" w:hint="eastAsia"/>
          <w:b/>
          <w:sz w:val="32"/>
          <w:szCs w:val="32"/>
        </w:rPr>
        <w:t>評</w:t>
      </w:r>
      <w:r w:rsidR="00B32422" w:rsidRPr="00A03206">
        <w:rPr>
          <w:rFonts w:ascii="標楷體" w:eastAsia="標楷體" w:hAnsi="標楷體"/>
          <w:b/>
          <w:sz w:val="32"/>
          <w:szCs w:val="32"/>
        </w:rPr>
        <w:t>量</w:t>
      </w:r>
      <w:r w:rsidR="00117487" w:rsidRPr="00A03206">
        <w:rPr>
          <w:rFonts w:ascii="標楷體" w:eastAsia="標楷體" w:hAnsi="標楷體" w:hint="eastAsia"/>
          <w:b/>
          <w:sz w:val="32"/>
          <w:szCs w:val="32"/>
        </w:rPr>
        <w:t>審</w:t>
      </w:r>
      <w:r w:rsidR="00B42E7D">
        <w:rPr>
          <w:rFonts w:ascii="標楷體" w:eastAsia="標楷體" w:hAnsi="標楷體" w:hint="eastAsia"/>
          <w:b/>
          <w:sz w:val="32"/>
          <w:szCs w:val="32"/>
        </w:rPr>
        <w:t>題</w:t>
      </w:r>
      <w:r w:rsidR="00B42E7D">
        <w:rPr>
          <w:rFonts w:ascii="標楷體" w:eastAsia="標楷體" w:hAnsi="標楷體"/>
          <w:b/>
          <w:sz w:val="32"/>
          <w:szCs w:val="32"/>
        </w:rPr>
        <w:t>意見</w:t>
      </w:r>
      <w:r w:rsidR="00117487" w:rsidRPr="00A03206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117487" w:rsidRPr="00A03206" w:rsidRDefault="00117487" w:rsidP="00117487">
      <w:pPr>
        <w:ind w:left="480"/>
        <w:rPr>
          <w:rFonts w:ascii="標楷體" w:eastAsia="標楷體" w:hAnsi="標楷體"/>
        </w:rPr>
      </w:pPr>
    </w:p>
    <w:tbl>
      <w:tblPr>
        <w:tblStyle w:val="a6"/>
        <w:tblW w:w="9619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1"/>
        <w:gridCol w:w="699"/>
        <w:gridCol w:w="2984"/>
        <w:gridCol w:w="2116"/>
        <w:gridCol w:w="2409"/>
      </w:tblGrid>
      <w:tr w:rsidR="00A03206" w:rsidRPr="00A03206" w:rsidTr="00C02D74">
        <w:trPr>
          <w:trHeight w:val="698"/>
        </w:trPr>
        <w:tc>
          <w:tcPr>
            <w:tcW w:w="211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3284" w:rsidRPr="00A03206" w:rsidRDefault="00253284" w:rsidP="000F3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2984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3284" w:rsidRPr="00A03206" w:rsidRDefault="00253284" w:rsidP="000F3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題範圍</w:t>
            </w:r>
          </w:p>
        </w:tc>
        <w:tc>
          <w:tcPr>
            <w:tcW w:w="2116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3284" w:rsidRPr="00A03206" w:rsidRDefault="00253284" w:rsidP="000F3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測年級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/班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24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53284" w:rsidRPr="00A03206" w:rsidRDefault="00253284" w:rsidP="000F3CC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命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題教師</w:t>
            </w:r>
          </w:p>
        </w:tc>
      </w:tr>
      <w:tr w:rsidR="00A03206" w:rsidRPr="00A03206" w:rsidTr="00C02D74">
        <w:trPr>
          <w:trHeight w:val="698"/>
        </w:trPr>
        <w:tc>
          <w:tcPr>
            <w:tcW w:w="2110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253284" w:rsidRPr="00A03206" w:rsidRDefault="002532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18" w:space="0" w:color="auto"/>
            </w:tcBorders>
          </w:tcPr>
          <w:p w:rsidR="00253284" w:rsidRPr="00A03206" w:rsidRDefault="002532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18" w:space="0" w:color="auto"/>
            </w:tcBorders>
          </w:tcPr>
          <w:p w:rsidR="00253284" w:rsidRPr="00A03206" w:rsidRDefault="002532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18" w:space="0" w:color="auto"/>
            </w:tcBorders>
          </w:tcPr>
          <w:p w:rsidR="00253284" w:rsidRPr="00A03206" w:rsidRDefault="0025328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395"/>
        </w:trPr>
        <w:tc>
          <w:tcPr>
            <w:tcW w:w="9619" w:type="dxa"/>
            <w:gridSpan w:val="5"/>
            <w:tcBorders>
              <w:top w:val="single" w:sz="18" w:space="0" w:color="auto"/>
            </w:tcBorders>
          </w:tcPr>
          <w:p w:rsidR="00105EE1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題檢核表，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通過請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打「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sym w:font="Wingdings" w:char="F0FE"/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」、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通過請打「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sym w:font="Wingdings" w:char="F0FD"/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」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3A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核結果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570F3A" w:rsidRPr="00A03206" w:rsidRDefault="00105EE1" w:rsidP="00BA44F0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核項目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F3A" w:rsidRPr="00A03206" w:rsidRDefault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570F3A" w:rsidRPr="00A03206" w:rsidRDefault="00570F3A" w:rsidP="006D0AB0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題號</w:t>
            </w:r>
            <w:r w:rsidR="006D0AB0" w:rsidRPr="00A03206">
              <w:rPr>
                <w:rFonts w:ascii="標楷體" w:eastAsia="標楷體" w:hAnsi="標楷體" w:hint="eastAsia"/>
                <w:sz w:val="28"/>
                <w:szCs w:val="28"/>
              </w:rPr>
              <w:t>暨答</w:t>
            </w:r>
            <w:r w:rsidR="006D0AB0" w:rsidRPr="00A03206">
              <w:rPr>
                <w:rFonts w:ascii="標楷體" w:eastAsia="標楷體" w:hAnsi="標楷體"/>
                <w:sz w:val="28"/>
                <w:szCs w:val="28"/>
              </w:rPr>
              <w:t>案選項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  <w:r w:rsidR="006D0AB0" w:rsidRPr="00A03206">
              <w:rPr>
                <w:rFonts w:ascii="標楷體" w:eastAsia="標楷體" w:hAnsi="標楷體" w:hint="eastAsia"/>
                <w:sz w:val="28"/>
                <w:szCs w:val="28"/>
              </w:rPr>
              <w:t>皆</w:t>
            </w:r>
            <w:r w:rsidR="006D0AB0" w:rsidRPr="00A03206">
              <w:rPr>
                <w:rFonts w:ascii="標楷體" w:eastAsia="標楷體" w:hAnsi="標楷體"/>
                <w:sz w:val="28"/>
                <w:szCs w:val="28"/>
              </w:rPr>
              <w:t>正確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F0" w:rsidRPr="00A03206" w:rsidRDefault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BA44F0" w:rsidRPr="00A03206" w:rsidRDefault="00BA44F0" w:rsidP="00BA44F0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頁次、</w:t>
            </w:r>
            <w:r w:rsidR="006D0AB0" w:rsidRPr="00A03206">
              <w:rPr>
                <w:rFonts w:ascii="標楷體" w:eastAsia="標楷體" w:hAnsi="標楷體" w:hint="eastAsia"/>
                <w:sz w:val="28"/>
                <w:szCs w:val="28"/>
              </w:rPr>
              <w:t>試</w:t>
            </w:r>
            <w:r w:rsidR="006D0AB0" w:rsidRPr="00A03206">
              <w:rPr>
                <w:rFonts w:ascii="標楷體" w:eastAsia="標楷體" w:hAnsi="標楷體"/>
                <w:sz w:val="28"/>
                <w:szCs w:val="28"/>
              </w:rPr>
              <w:t>卷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背面尚有試題、電腦讀卡等提示語都有標示清楚。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F0" w:rsidRPr="00A03206" w:rsidRDefault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BA44F0" w:rsidRPr="00A03206" w:rsidRDefault="00BA44F0" w:rsidP="00F16915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試題內容</w:t>
            </w:r>
            <w:r w:rsidR="006D0AB0" w:rsidRPr="00A03206">
              <w:rPr>
                <w:rFonts w:ascii="標楷體" w:eastAsia="標楷體" w:hAnsi="標楷體" w:hint="eastAsia"/>
                <w:sz w:val="28"/>
                <w:szCs w:val="28"/>
              </w:rPr>
              <w:t>符</w:t>
            </w:r>
            <w:r w:rsidR="006D0AB0" w:rsidRPr="00A03206">
              <w:rPr>
                <w:rFonts w:ascii="標楷體" w:eastAsia="標楷體" w:hAnsi="標楷體"/>
                <w:sz w:val="28"/>
                <w:szCs w:val="28"/>
              </w:rPr>
              <w:t>合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命題單元的教學範圍。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1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105EE1" w:rsidRPr="00A03206" w:rsidRDefault="00105EE1" w:rsidP="00F16915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試題內容難易度適中。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395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1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105EE1" w:rsidRPr="00A03206" w:rsidRDefault="00105EE1" w:rsidP="00F16915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試題題數</w:t>
            </w:r>
            <w:r w:rsidR="00F16915" w:rsidRPr="00A03206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F16915" w:rsidRPr="00A03206">
              <w:rPr>
                <w:rFonts w:ascii="標楷體" w:eastAsia="標楷體" w:hAnsi="標楷體"/>
                <w:sz w:val="28"/>
                <w:szCs w:val="28"/>
              </w:rPr>
              <w:t>合理性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10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1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105EE1" w:rsidRPr="00A03206" w:rsidRDefault="00105EE1" w:rsidP="009676EB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圖表繪製清楚。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49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1" w:rsidRPr="00A03206" w:rsidRDefault="00105EE1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105EE1" w:rsidRPr="00A03206" w:rsidRDefault="00105EE1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審題教師</w:t>
            </w:r>
            <w:r w:rsidR="00B31FD9" w:rsidRPr="00A03206">
              <w:rPr>
                <w:rFonts w:ascii="標楷體" w:eastAsia="標楷體" w:hAnsi="標楷體" w:hint="eastAsia"/>
                <w:sz w:val="28"/>
                <w:szCs w:val="28"/>
              </w:rPr>
              <w:t>綜</w:t>
            </w:r>
            <w:r w:rsidR="00B31FD9" w:rsidRPr="00A03206">
              <w:rPr>
                <w:rFonts w:ascii="標楷體" w:eastAsia="標楷體" w:hAnsi="標楷體"/>
                <w:sz w:val="28"/>
                <w:szCs w:val="28"/>
              </w:rPr>
              <w:t>合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  <w:p w:rsidR="00105EE1" w:rsidRPr="00A03206" w:rsidRDefault="00105EE1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□試題符合</w:t>
            </w:r>
            <w:r w:rsidR="00372AFE" w:rsidRPr="00A03206">
              <w:rPr>
                <w:rFonts w:ascii="標楷體" w:eastAsia="標楷體" w:hAnsi="標楷體" w:hint="eastAsia"/>
                <w:sz w:val="28"/>
                <w:szCs w:val="28"/>
              </w:rPr>
              <w:t>評</w:t>
            </w:r>
            <w:r w:rsidR="00372AFE" w:rsidRPr="00A03206">
              <w:rPr>
                <w:rFonts w:ascii="標楷體" w:eastAsia="標楷體" w:hAnsi="標楷體"/>
                <w:sz w:val="28"/>
                <w:szCs w:val="28"/>
              </w:rPr>
              <w:t>量範</w:t>
            </w:r>
            <w:r w:rsidR="00372AFE" w:rsidRPr="00A03206">
              <w:rPr>
                <w:rFonts w:ascii="標楷體" w:eastAsia="標楷體" w:hAnsi="標楷體" w:hint="eastAsia"/>
                <w:sz w:val="28"/>
                <w:szCs w:val="28"/>
              </w:rPr>
              <w:t>圍</w:t>
            </w:r>
            <w:r w:rsidR="00372AFE" w:rsidRPr="00A03206">
              <w:rPr>
                <w:rFonts w:ascii="標楷體" w:eastAsia="標楷體" w:hAnsi="標楷體"/>
                <w:sz w:val="28"/>
                <w:szCs w:val="28"/>
              </w:rPr>
              <w:t>、配分暨</w:t>
            </w:r>
            <w:r w:rsidR="00372AFE" w:rsidRPr="00A03206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  <w:r w:rsidR="00372AFE" w:rsidRPr="00A03206">
              <w:rPr>
                <w:rFonts w:ascii="標楷體" w:eastAsia="標楷體" w:hAnsi="標楷體"/>
                <w:sz w:val="28"/>
                <w:szCs w:val="28"/>
              </w:rPr>
              <w:t>數合</w:t>
            </w:r>
            <w:r w:rsidR="00372AFE" w:rsidRPr="00A03206">
              <w:rPr>
                <w:rFonts w:ascii="標楷體" w:eastAsia="標楷體" w:hAnsi="標楷體" w:hint="eastAsia"/>
                <w:sz w:val="28"/>
                <w:szCs w:val="28"/>
              </w:rPr>
              <w:t>宜及</w:t>
            </w:r>
            <w:r w:rsidR="00372AFE" w:rsidRPr="00A03206">
              <w:rPr>
                <w:rFonts w:ascii="標楷體" w:eastAsia="標楷體" w:hAnsi="標楷體"/>
                <w:sz w:val="28"/>
                <w:szCs w:val="28"/>
              </w:rPr>
              <w:t>難</w:t>
            </w:r>
            <w:r w:rsidR="00372AFE" w:rsidRPr="00A03206">
              <w:rPr>
                <w:rFonts w:ascii="標楷體" w:eastAsia="標楷體" w:hAnsi="標楷體" w:hint="eastAsia"/>
                <w:sz w:val="28"/>
                <w:szCs w:val="28"/>
              </w:rPr>
              <w:t>易</w:t>
            </w:r>
            <w:r w:rsidR="00372AFE" w:rsidRPr="00A03206">
              <w:rPr>
                <w:rFonts w:ascii="標楷體" w:eastAsia="標楷體" w:hAnsi="標楷體"/>
                <w:sz w:val="28"/>
                <w:szCs w:val="28"/>
              </w:rPr>
              <w:t>適中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，無需修訂。</w:t>
            </w:r>
          </w:p>
          <w:p w:rsidR="00105EE1" w:rsidRPr="00A03206" w:rsidRDefault="00105EE1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□試題需修訂，項目如下</w:t>
            </w:r>
            <w:r w:rsidR="00B31FD9" w:rsidRPr="00A03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372AFE" w:rsidRPr="00A03206" w:rsidRDefault="00372AFE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</w:p>
          <w:p w:rsidR="00105EE1" w:rsidRPr="00A03206" w:rsidRDefault="00105EE1" w:rsidP="00105EE1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審題教師簽名：____________________</w:t>
            </w:r>
          </w:p>
        </w:tc>
      </w:tr>
      <w:tr w:rsidR="00A03206" w:rsidRPr="00A03206" w:rsidTr="00C02D74">
        <w:tblPrEx>
          <w:tblBorders>
            <w:insideV w:val="single" w:sz="18" w:space="0" w:color="auto"/>
          </w:tblBorders>
        </w:tblPrEx>
        <w:trPr>
          <w:trHeight w:val="2251"/>
        </w:trPr>
        <w:tc>
          <w:tcPr>
            <w:tcW w:w="141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1676B" w:rsidRPr="00A03206" w:rsidRDefault="0041676B" w:rsidP="00105E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8207" w:type="dxa"/>
            <w:gridSpan w:val="4"/>
            <w:tcBorders>
              <w:left w:val="single" w:sz="4" w:space="0" w:color="auto"/>
            </w:tcBorders>
          </w:tcPr>
          <w:p w:rsidR="0041676B" w:rsidRPr="00A03206" w:rsidRDefault="0041676B" w:rsidP="007169AB">
            <w:pPr>
              <w:ind w:left="280" w:hangingChars="100" w:hanging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1.定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期評量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試題及審題</w:t>
            </w:r>
            <w:r w:rsidR="00B42E7D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B42E7D">
              <w:rPr>
                <w:rFonts w:ascii="標楷體" w:eastAsia="標楷體" w:hAnsi="標楷體"/>
                <w:sz w:val="28"/>
                <w:szCs w:val="28"/>
              </w:rPr>
              <w:t>見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表最後繳交期限：定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期評量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第1天往前推10天，請命題與審題教師注意時間（印考卷需工作天）。</w:t>
            </w:r>
          </w:p>
          <w:p w:rsidR="007169AB" w:rsidRPr="00A03206" w:rsidRDefault="0041676B" w:rsidP="0041676B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命題教師應主動將試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(卷)交給審題</w:t>
            </w:r>
            <w:r w:rsidR="00180128" w:rsidRPr="00A03206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  <w:r w:rsidR="007169AB" w:rsidRPr="00A0320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41676B" w:rsidRPr="00A03206" w:rsidRDefault="007169AB" w:rsidP="007169AB">
            <w:pPr>
              <w:ind w:left="280" w:hangingChars="100" w:hanging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/>
                <w:sz w:val="28"/>
                <w:szCs w:val="28"/>
              </w:rPr>
              <w:t>3.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審題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為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無需修訂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請命題教師將試題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(卷)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和審題</w:t>
            </w:r>
            <w:r w:rsidR="00B42E7D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B42E7D">
              <w:rPr>
                <w:rFonts w:ascii="標楷體" w:eastAsia="標楷體" w:hAnsi="標楷體"/>
                <w:sz w:val="28"/>
                <w:szCs w:val="28"/>
              </w:rPr>
              <w:t>見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表一併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送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教務處。</w:t>
            </w:r>
          </w:p>
          <w:p w:rsidR="0041676B" w:rsidRPr="00A03206" w:rsidRDefault="007169AB" w:rsidP="00180128">
            <w:pPr>
              <w:ind w:left="280" w:hangingChars="100" w:hanging="28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03206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.審題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見為需修訂，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命題教師依據審題意見進行試題修訂後，送請審題</w:t>
            </w:r>
            <w:r w:rsidR="00180128" w:rsidRPr="00A03206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師進行複審確認無誤，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再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將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試題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(卷)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和審題</w:t>
            </w:r>
            <w:r w:rsidR="00B42E7D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 w:rsidR="00B42E7D">
              <w:rPr>
                <w:rFonts w:ascii="標楷體" w:eastAsia="標楷體" w:hAnsi="標楷體"/>
                <w:sz w:val="28"/>
                <w:szCs w:val="28"/>
              </w:rPr>
              <w:t>見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表一併</w:t>
            </w:r>
            <w:r w:rsidRPr="00A03206">
              <w:rPr>
                <w:rFonts w:ascii="標楷體" w:eastAsia="標楷體" w:hAnsi="標楷體" w:hint="eastAsia"/>
                <w:sz w:val="28"/>
                <w:szCs w:val="28"/>
              </w:rPr>
              <w:t>送</w:t>
            </w:r>
            <w:r w:rsidRPr="00A03206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41676B" w:rsidRPr="00A03206">
              <w:rPr>
                <w:rFonts w:ascii="標楷體" w:eastAsia="標楷體" w:hAnsi="標楷體" w:hint="eastAsia"/>
                <w:sz w:val="28"/>
                <w:szCs w:val="28"/>
              </w:rPr>
              <w:t>教務處。</w:t>
            </w:r>
          </w:p>
        </w:tc>
      </w:tr>
    </w:tbl>
    <w:p w:rsidR="00253284" w:rsidRPr="00A03206" w:rsidRDefault="00253284"/>
    <w:sectPr w:rsidR="00253284" w:rsidRPr="00A03206" w:rsidSect="00117487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504" w:rsidRDefault="00720504" w:rsidP="00D81EA9">
      <w:pPr>
        <w:spacing w:line="240" w:lineRule="auto"/>
      </w:pPr>
      <w:r>
        <w:separator/>
      </w:r>
    </w:p>
  </w:endnote>
  <w:endnote w:type="continuationSeparator" w:id="0">
    <w:p w:rsidR="00720504" w:rsidRDefault="00720504" w:rsidP="00D8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504" w:rsidRDefault="00720504" w:rsidP="00D81EA9">
      <w:pPr>
        <w:spacing w:line="240" w:lineRule="auto"/>
      </w:pPr>
      <w:r>
        <w:separator/>
      </w:r>
    </w:p>
  </w:footnote>
  <w:footnote w:type="continuationSeparator" w:id="0">
    <w:p w:rsidR="00720504" w:rsidRDefault="00720504" w:rsidP="00D81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BF6"/>
    <w:multiLevelType w:val="hybridMultilevel"/>
    <w:tmpl w:val="5C06E0F0"/>
    <w:lvl w:ilvl="0" w:tplc="87CAC184">
      <w:start w:val="1"/>
      <w:numFmt w:val="taiwaneseCountingThousand"/>
      <w:lvlText w:val="(%1)"/>
      <w:lvlJc w:val="left"/>
      <w:pPr>
        <w:ind w:left="1095" w:hanging="615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EC665C5"/>
    <w:multiLevelType w:val="hybridMultilevel"/>
    <w:tmpl w:val="BF7C8F40"/>
    <w:lvl w:ilvl="0" w:tplc="107474E8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28EE7C50">
      <w:start w:val="1"/>
      <w:numFmt w:val="taiwaneseCountingThousand"/>
      <w:lvlText w:val="（%2）"/>
      <w:lvlJc w:val="left"/>
      <w:pPr>
        <w:ind w:left="1200" w:hanging="720"/>
      </w:pPr>
      <w:rPr>
        <w:rFonts w:hAnsi="標楷體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4C7047"/>
    <w:multiLevelType w:val="hybridMultilevel"/>
    <w:tmpl w:val="C294235C"/>
    <w:lvl w:ilvl="0" w:tplc="BDC26CE4">
      <w:start w:val="1"/>
      <w:numFmt w:val="taiwaneseCountingThousand"/>
      <w:lvlText w:val="(%1)"/>
      <w:lvlJc w:val="left"/>
      <w:pPr>
        <w:ind w:left="1050" w:hanging="57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E52173"/>
    <w:multiLevelType w:val="hybridMultilevel"/>
    <w:tmpl w:val="605032CC"/>
    <w:lvl w:ilvl="0" w:tplc="4920E742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768C1E8C"/>
    <w:multiLevelType w:val="hybridMultilevel"/>
    <w:tmpl w:val="220A1C7E"/>
    <w:lvl w:ilvl="0" w:tplc="549C5728">
      <w:start w:val="1"/>
      <w:numFmt w:val="taiwaneseCountingThousand"/>
      <w:lvlText w:val="(%1)"/>
      <w:lvlJc w:val="left"/>
      <w:pPr>
        <w:ind w:left="1110" w:hanging="63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6B"/>
    <w:rsid w:val="000335BE"/>
    <w:rsid w:val="0009308F"/>
    <w:rsid w:val="000B3A62"/>
    <w:rsid w:val="000F3CCB"/>
    <w:rsid w:val="00105EE1"/>
    <w:rsid w:val="00117487"/>
    <w:rsid w:val="001378B3"/>
    <w:rsid w:val="0015156B"/>
    <w:rsid w:val="00180128"/>
    <w:rsid w:val="001C5833"/>
    <w:rsid w:val="001D143D"/>
    <w:rsid w:val="00253284"/>
    <w:rsid w:val="002E1EA6"/>
    <w:rsid w:val="00316911"/>
    <w:rsid w:val="00372519"/>
    <w:rsid w:val="00372AFE"/>
    <w:rsid w:val="0041676B"/>
    <w:rsid w:val="00512C97"/>
    <w:rsid w:val="00570F3A"/>
    <w:rsid w:val="00661282"/>
    <w:rsid w:val="006C6F81"/>
    <w:rsid w:val="006D0AB0"/>
    <w:rsid w:val="007169AB"/>
    <w:rsid w:val="00720504"/>
    <w:rsid w:val="00767FCF"/>
    <w:rsid w:val="00784E97"/>
    <w:rsid w:val="007A1F17"/>
    <w:rsid w:val="00847EE1"/>
    <w:rsid w:val="008F375C"/>
    <w:rsid w:val="00954CA1"/>
    <w:rsid w:val="009676EB"/>
    <w:rsid w:val="00A03206"/>
    <w:rsid w:val="00AC7000"/>
    <w:rsid w:val="00B31FD9"/>
    <w:rsid w:val="00B32422"/>
    <w:rsid w:val="00B42E7D"/>
    <w:rsid w:val="00B534AA"/>
    <w:rsid w:val="00BA44F0"/>
    <w:rsid w:val="00BB1AA7"/>
    <w:rsid w:val="00BC4B83"/>
    <w:rsid w:val="00C02D74"/>
    <w:rsid w:val="00C0306B"/>
    <w:rsid w:val="00D81EA9"/>
    <w:rsid w:val="00D86FFF"/>
    <w:rsid w:val="00DA76CF"/>
    <w:rsid w:val="00EE50DE"/>
    <w:rsid w:val="00F16915"/>
    <w:rsid w:val="00F3299F"/>
    <w:rsid w:val="00F859F9"/>
    <w:rsid w:val="00FD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5B822-16C9-4703-B421-E76ED2F2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6B"/>
    <w:pPr>
      <w:widowControl w:val="0"/>
      <w:spacing w:line="360" w:lineRule="exact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306B"/>
    <w:rPr>
      <w:sz w:val="20"/>
      <w:szCs w:val="20"/>
    </w:rPr>
  </w:style>
  <w:style w:type="paragraph" w:styleId="a5">
    <w:name w:val="List Paragraph"/>
    <w:basedOn w:val="a"/>
    <w:uiPriority w:val="34"/>
    <w:qFormat/>
    <w:rsid w:val="00C0306B"/>
    <w:pPr>
      <w:ind w:leftChars="200" w:left="480"/>
    </w:pPr>
  </w:style>
  <w:style w:type="table" w:styleId="a6">
    <w:name w:val="Table Grid"/>
    <w:basedOn w:val="a1"/>
    <w:uiPriority w:val="59"/>
    <w:rsid w:val="00C0306B"/>
    <w:pPr>
      <w:jc w:val="center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169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169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81E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81E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2D9E-E52D-42AD-9D96-4CB04F31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2022-08-26T00:42:00Z</cp:lastPrinted>
  <dcterms:created xsi:type="dcterms:W3CDTF">2024-11-25T11:32:00Z</dcterms:created>
  <dcterms:modified xsi:type="dcterms:W3CDTF">2024-11-25T11:32:00Z</dcterms:modified>
</cp:coreProperties>
</file>